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4625F" w14:textId="77777777" w:rsidR="00D353DD" w:rsidRPr="00D353DD" w:rsidRDefault="00D353DD" w:rsidP="00D353DD">
      <w:pPr>
        <w:spacing w:before="60" w:after="60"/>
        <w:ind w:firstLine="0"/>
        <w:jc w:val="center"/>
        <w:rPr>
          <w:rFonts w:ascii="Times New Roman" w:hAnsi="Times New Roman" w:cs="Times New Roman"/>
          <w:b/>
          <w:bCs/>
          <w:sz w:val="28"/>
          <w:szCs w:val="28"/>
        </w:rPr>
      </w:pPr>
      <w:r w:rsidRPr="00D353DD">
        <w:rPr>
          <w:rFonts w:ascii="Times New Roman" w:hAnsi="Times New Roman" w:cs="Times New Roman"/>
          <w:b/>
          <w:bCs/>
          <w:sz w:val="28"/>
          <w:szCs w:val="28"/>
        </w:rPr>
        <w:t xml:space="preserve">BÀI TUYÊN TRUYỀN LUẬT THỰC HIỆN DÂN CHỦ Ở CƠ SỞ </w:t>
      </w:r>
    </w:p>
    <w:p w14:paraId="21E43180" w14:textId="00EDA4DD" w:rsidR="00D353DD" w:rsidRDefault="00D353DD" w:rsidP="00D353DD">
      <w:pPr>
        <w:spacing w:before="60" w:after="60"/>
        <w:ind w:firstLine="0"/>
        <w:jc w:val="center"/>
        <w:rPr>
          <w:rFonts w:ascii="Times New Roman" w:hAnsi="Times New Roman" w:cs="Times New Roman"/>
          <w:b/>
          <w:bCs/>
          <w:sz w:val="28"/>
          <w:szCs w:val="28"/>
        </w:rPr>
      </w:pPr>
      <w:r w:rsidRPr="00D353DD">
        <w:rPr>
          <w:rFonts w:ascii="Times New Roman" w:hAnsi="Times New Roman" w:cs="Times New Roman"/>
          <w:b/>
          <w:bCs/>
          <w:sz w:val="28"/>
          <w:szCs w:val="28"/>
        </w:rPr>
        <w:t>TẠI CÁC CƠ QUAN, ĐƠN VỊ</w:t>
      </w:r>
      <w:r w:rsidR="002C606C">
        <w:rPr>
          <w:rFonts w:ascii="Times New Roman" w:hAnsi="Times New Roman" w:cs="Times New Roman"/>
          <w:b/>
          <w:bCs/>
          <w:sz w:val="28"/>
          <w:szCs w:val="28"/>
        </w:rPr>
        <w:t xml:space="preserve"> TRÊN ĐỊA BÀN HUYỆN</w:t>
      </w:r>
    </w:p>
    <w:p w14:paraId="4365903B" w14:textId="77777777" w:rsidR="002C606C" w:rsidRPr="00D353DD" w:rsidRDefault="002C606C" w:rsidP="00D353DD">
      <w:pPr>
        <w:spacing w:before="60" w:after="60"/>
        <w:ind w:firstLine="0"/>
        <w:jc w:val="center"/>
        <w:rPr>
          <w:rFonts w:ascii="Times New Roman" w:hAnsi="Times New Roman" w:cs="Times New Roman"/>
          <w:b/>
          <w:bCs/>
          <w:sz w:val="28"/>
          <w:szCs w:val="28"/>
        </w:rPr>
      </w:pPr>
    </w:p>
    <w:p w14:paraId="6C740CD1" w14:textId="646C1811" w:rsidR="00F8516A" w:rsidRPr="00766B00" w:rsidRDefault="00F8516A" w:rsidP="00D353DD">
      <w:pPr>
        <w:spacing w:before="60" w:after="60"/>
        <w:rPr>
          <w:rFonts w:ascii="Times New Roman" w:hAnsi="Times New Roman" w:cs="Times New Roman"/>
          <w:sz w:val="28"/>
          <w:szCs w:val="28"/>
        </w:rPr>
      </w:pPr>
      <w:r w:rsidRPr="00766B00">
        <w:rPr>
          <w:rFonts w:ascii="Times New Roman" w:hAnsi="Times New Roman" w:cs="Times New Roman"/>
          <w:sz w:val="28"/>
          <w:szCs w:val="28"/>
        </w:rPr>
        <w:t>Để tiếp tục phát huy những kết quả đạt được, thể chế hóa đầy đủ chủ trương, quan điểm chỉ đạo của Đảng, cụ thể hóa Hiến pháp năm 2013, bảo đảm sự thống nhất, đồng bộ của hệ thống pháp luật và khắc phục kịp thời những hạn chế, bất cập trong thực tiễn thực hiện dân chủ ở cơ sở nêu trên thì việc nghiên cứu xây dựng và ban hành Luật Thực hiện dân chủ ở cơ sở là cần thiết. Ngày 10 tháng 11 năm 2022, tại kỳ họp thứ 4, Quốc hội nước Cộng hoà xã hội chủ nghĩa Việt Nam khoá XV đã thông qua Luật Thực hiện dân chủ ở cơ sở năm 2022, có hiệu lực thi hành từ ngày 1/7/2023.</w:t>
      </w:r>
    </w:p>
    <w:p w14:paraId="74E4112E" w14:textId="446D23C3" w:rsidR="00F8516A" w:rsidRPr="00F8516A" w:rsidRDefault="00F8516A" w:rsidP="00D353DD">
      <w:pPr>
        <w:shd w:val="clear" w:color="auto" w:fill="FFFFFF"/>
        <w:spacing w:before="60" w:after="60"/>
        <w:ind w:firstLine="709"/>
        <w:rPr>
          <w:rFonts w:ascii="Times New Roman" w:eastAsia="Times New Roman" w:hAnsi="Times New Roman" w:cs="Times New Roman"/>
          <w:color w:val="333333"/>
          <w:kern w:val="0"/>
          <w:sz w:val="28"/>
          <w:szCs w:val="28"/>
          <w14:ligatures w14:val="none"/>
        </w:rPr>
      </w:pPr>
      <w:r w:rsidRPr="00766B00">
        <w:rPr>
          <w:rFonts w:ascii="Times New Roman" w:eastAsia="Times New Roman" w:hAnsi="Times New Roman" w:cs="Times New Roman"/>
          <w:color w:val="333333"/>
          <w:kern w:val="0"/>
          <w:sz w:val="28"/>
          <w:szCs w:val="28"/>
          <w14:ligatures w14:val="none"/>
        </w:rPr>
        <w:t>Luật Thực hiện dân chủ ở cơ sở có 6 Chương, 91 Điều, đây là luật mới, lần đầu được xem xét thông qua, là dấu ấn của nhiệm kỳ Quốc hội khóa XV trong việc kịp thời thể chế hóa đường lối Đại hội Đảng lần thứ XIII và định hướng chương trình xây dựng pháp luật cả nhiệm kỳ khóa XV.</w:t>
      </w:r>
      <w:r>
        <w:rPr>
          <w:rFonts w:ascii="Times New Roman" w:eastAsia="Times New Roman" w:hAnsi="Times New Roman" w:cs="Times New Roman"/>
          <w:color w:val="333333"/>
          <w:kern w:val="0"/>
          <w:sz w:val="28"/>
          <w:szCs w:val="28"/>
          <w14:ligatures w14:val="none"/>
        </w:rPr>
        <w:t xml:space="preserve"> Trong đó, việc thực hiện dân chủ ở cơ sở trong cơ quan, đơn vị được thể chế tại Chương III, gồm 4 mục, 18 điều trong Luật Thực hiện dân chủ ở cơ sở.</w:t>
      </w:r>
    </w:p>
    <w:p w14:paraId="078A5DA7" w14:textId="22C4AD89" w:rsidR="00F8516A" w:rsidRPr="00F8516A" w:rsidRDefault="00D353DD" w:rsidP="00D353DD">
      <w:pPr>
        <w:spacing w:before="60" w:after="60"/>
        <w:rPr>
          <w:rFonts w:ascii="Times New Roman" w:hAnsi="Times New Roman" w:cs="Times New Roman"/>
          <w:sz w:val="28"/>
          <w:szCs w:val="28"/>
        </w:rPr>
      </w:pPr>
      <w:r>
        <w:rPr>
          <w:rFonts w:ascii="Times New Roman" w:hAnsi="Times New Roman" w:cs="Times New Roman"/>
          <w:sz w:val="28"/>
          <w:szCs w:val="28"/>
        </w:rPr>
        <w:t>Một số nội dung nổi bật trong Luật về thực hiện dân chủ t</w:t>
      </w:r>
      <w:r w:rsidR="00F8516A" w:rsidRPr="00F8516A">
        <w:rPr>
          <w:rFonts w:ascii="Times New Roman" w:hAnsi="Times New Roman" w:cs="Times New Roman"/>
          <w:sz w:val="28"/>
          <w:szCs w:val="28"/>
        </w:rPr>
        <w:t xml:space="preserve">ại cơ quan, đơn vị và tại tổ chức có sử dụng </w:t>
      </w:r>
      <w:proofErr w:type="gramStart"/>
      <w:r w:rsidR="00F8516A" w:rsidRPr="00F8516A">
        <w:rPr>
          <w:rFonts w:ascii="Times New Roman" w:hAnsi="Times New Roman" w:cs="Times New Roman"/>
          <w:sz w:val="28"/>
          <w:szCs w:val="28"/>
        </w:rPr>
        <w:t>lao</w:t>
      </w:r>
      <w:proofErr w:type="gramEnd"/>
      <w:r w:rsidR="00F8516A" w:rsidRPr="00F8516A">
        <w:rPr>
          <w:rFonts w:ascii="Times New Roman" w:hAnsi="Times New Roman" w:cs="Times New Roman"/>
          <w:sz w:val="28"/>
          <w:szCs w:val="28"/>
        </w:rPr>
        <w:t xml:space="preserve"> động</w:t>
      </w:r>
      <w:r>
        <w:rPr>
          <w:rFonts w:ascii="Times New Roman" w:hAnsi="Times New Roman" w:cs="Times New Roman"/>
          <w:sz w:val="28"/>
          <w:szCs w:val="28"/>
        </w:rPr>
        <w:t>:</w:t>
      </w:r>
    </w:p>
    <w:p w14:paraId="4043DAEA" w14:textId="623789BC" w:rsidR="007E0523" w:rsidRPr="00F8516A" w:rsidRDefault="00F8516A" w:rsidP="00D353DD">
      <w:pPr>
        <w:spacing w:before="60" w:after="60"/>
        <w:rPr>
          <w:rFonts w:ascii="Times New Roman" w:hAnsi="Times New Roman" w:cs="Times New Roman"/>
          <w:sz w:val="28"/>
          <w:szCs w:val="28"/>
        </w:rPr>
      </w:pPr>
      <w:r w:rsidRPr="00F8516A">
        <w:rPr>
          <w:rFonts w:ascii="Times New Roman" w:hAnsi="Times New Roman" w:cs="Times New Roman"/>
          <w:sz w:val="28"/>
          <w:szCs w:val="28"/>
        </w:rPr>
        <w:t xml:space="preserve">Bổ sung quy định cán bộ, công chức, viên chức, người lao động được bàn và quyết định trong thực hiện dân chủ ở cơ quan, đơn vị (Điều 49) và các nội dung người lao động bàn, quyết định trong thực hiện dân chủ ở tổ chức có sử dụng lao động (Điều 67). Các nội dung này được bàn và quyết định tại hội nghị cán bộ, công chức, viên chức, người </w:t>
      </w:r>
      <w:proofErr w:type="gramStart"/>
      <w:r w:rsidRPr="00F8516A">
        <w:rPr>
          <w:rFonts w:ascii="Times New Roman" w:hAnsi="Times New Roman" w:cs="Times New Roman"/>
          <w:sz w:val="28"/>
          <w:szCs w:val="28"/>
        </w:rPr>
        <w:t>lao</w:t>
      </w:r>
      <w:proofErr w:type="gramEnd"/>
      <w:r w:rsidRPr="00F8516A">
        <w:rPr>
          <w:rFonts w:ascii="Times New Roman" w:hAnsi="Times New Roman" w:cs="Times New Roman"/>
          <w:sz w:val="28"/>
          <w:szCs w:val="28"/>
        </w:rPr>
        <w:t xml:space="preserve"> động hoặc hội nghị người lao động. Trường hợp không thể tổ chức hội nghị thì người đứng đầu cơ quan, đơn vị, sau khi đã thống nhất với Ban Chấp hành Công đoàn cơ quan, đơn vị, quyết định việc gửi phiếu lấy ý kiến của toàn thể cán bộ, công chức, viên chức, người lao động trong cơ quan, đơn vị hoặc người đại diện có thẩm quyền của tổ chức có sử dụng lao động quyết định việc gửi phiếu lấy ý kiến của toàn thể người lao động trong tổ chức sau khi đã thống nhất với ban đại diện của tổ chức đại diện người lao động ở cơ sở (Điều 68).</w:t>
      </w:r>
    </w:p>
    <w:p w14:paraId="24CF1CD5" w14:textId="2B68742A" w:rsidR="00F8516A" w:rsidRPr="00F8516A" w:rsidRDefault="00F8516A" w:rsidP="00D353DD">
      <w:pPr>
        <w:spacing w:before="60" w:after="60"/>
        <w:rPr>
          <w:rFonts w:ascii="Times New Roman" w:hAnsi="Times New Roman" w:cs="Times New Roman"/>
          <w:sz w:val="28"/>
          <w:szCs w:val="28"/>
        </w:rPr>
      </w:pPr>
      <w:r w:rsidRPr="00F8516A">
        <w:rPr>
          <w:rFonts w:ascii="Times New Roman" w:hAnsi="Times New Roman" w:cs="Times New Roman"/>
          <w:sz w:val="28"/>
          <w:szCs w:val="28"/>
        </w:rPr>
        <w:t>Cơ chế bảo đảm việc thực hiện dân chủ ở cơ sở</w:t>
      </w:r>
    </w:p>
    <w:p w14:paraId="690C3C4D" w14:textId="3891E1DC" w:rsidR="00F8516A" w:rsidRPr="00F8516A" w:rsidRDefault="00F8516A" w:rsidP="00D353DD">
      <w:pPr>
        <w:spacing w:before="60" w:after="60"/>
        <w:rPr>
          <w:rFonts w:ascii="Times New Roman" w:hAnsi="Times New Roman" w:cs="Times New Roman"/>
          <w:sz w:val="28"/>
          <w:szCs w:val="28"/>
        </w:rPr>
      </w:pPr>
      <w:r w:rsidRPr="00F8516A">
        <w:rPr>
          <w:rFonts w:ascii="Times New Roman" w:hAnsi="Times New Roman" w:cs="Times New Roman"/>
          <w:sz w:val="28"/>
          <w:szCs w:val="28"/>
        </w:rPr>
        <w:t xml:space="preserve">Thể chế hóa vai trò của Mặt trận Tổ quốc Việt Nam và các tổ chức chính trị - xã hội “làm nòng cốt để Nhân dân làm chủ”, Luật Thực hiện dân chủ ở cơ sở quy định rõ trách nhiệm của Ủy ban Mặt trận Tổ quốc Việt Nam cấp xã, Ban công tác Mặt trận Tổ quốc ở thôn, tổ dân phố, vai trò, trách nhiệm của công đoàn, tổ chức đại diện người lao động ở cơ quan, tổ chức, đơn vị trong từng việc, từng bước, từng khâu thực hiện dân chủ một cách thống nhất, xuyên suốt (Điều 23, Điều 28, Điều 40, Điều 45, Điều 52, Điều 55, Điều 63, Điều 70, Điều 78, Điều 82); bổ sung </w:t>
      </w:r>
      <w:r w:rsidRPr="00F8516A">
        <w:rPr>
          <w:rFonts w:ascii="Times New Roman" w:hAnsi="Times New Roman" w:cs="Times New Roman"/>
          <w:sz w:val="28"/>
          <w:szCs w:val="28"/>
        </w:rPr>
        <w:lastRenderedPageBreak/>
        <w:t>các quy định về trách nhiệm của công dân, cán bộ, công chức, viên chức, người lao động trong thực hiện dân chủ ở cơ sở (Điều 24, Điều 29); quy định cụ thể các hành vi bị nghiêm cấm (Điều 9) và việc xử lý vi phạm pháp luật trong thực hiện dân chủ ở cơ sở (Điều 10) nhằm bảo đảm kỷ luật, kỷ cương trong thực hiện dân chủ ở cơ sở.</w:t>
      </w:r>
    </w:p>
    <w:p w14:paraId="73C5210C" w14:textId="121DE13F" w:rsidR="00F8516A" w:rsidRPr="00F8516A" w:rsidRDefault="00F8516A" w:rsidP="00D353DD">
      <w:pPr>
        <w:spacing w:before="60" w:after="60"/>
        <w:rPr>
          <w:rFonts w:ascii="Times New Roman" w:hAnsi="Times New Roman" w:cs="Times New Roman"/>
          <w:sz w:val="28"/>
          <w:szCs w:val="28"/>
        </w:rPr>
      </w:pPr>
      <w:r w:rsidRPr="00F8516A">
        <w:rPr>
          <w:rFonts w:ascii="Times New Roman" w:hAnsi="Times New Roman" w:cs="Times New Roman"/>
          <w:sz w:val="28"/>
          <w:szCs w:val="28"/>
        </w:rPr>
        <w:t>Một số điểm mới của việc thực hiện dân chủ trong cơ quan, đơn vị</w:t>
      </w:r>
    </w:p>
    <w:p w14:paraId="6C91C477" w14:textId="77777777" w:rsidR="00F8516A" w:rsidRPr="00F8516A" w:rsidRDefault="00F8516A" w:rsidP="00D353DD">
      <w:pPr>
        <w:spacing w:before="60" w:after="60"/>
        <w:rPr>
          <w:rFonts w:ascii="Times New Roman" w:hAnsi="Times New Roman" w:cs="Times New Roman"/>
          <w:sz w:val="28"/>
          <w:szCs w:val="28"/>
        </w:rPr>
      </w:pPr>
      <w:r w:rsidRPr="00F8516A">
        <w:rPr>
          <w:rFonts w:ascii="Times New Roman" w:hAnsi="Times New Roman" w:cs="Times New Roman"/>
          <w:sz w:val="28"/>
          <w:szCs w:val="28"/>
        </w:rPr>
        <w:t>(i) Bổ sung các hình thức công khai thông tin, lấy ý kiến thông báo qua hệ thống thông tin nội bộ, đăng trên cổng, trang thông tin của cơ quan, đơn vị;</w:t>
      </w:r>
    </w:p>
    <w:p w14:paraId="2F2AF3DB" w14:textId="77777777" w:rsidR="00F8516A" w:rsidRPr="00F8516A" w:rsidRDefault="00F8516A" w:rsidP="00D353DD">
      <w:pPr>
        <w:spacing w:before="60" w:after="60"/>
        <w:rPr>
          <w:rFonts w:ascii="Times New Roman" w:hAnsi="Times New Roman" w:cs="Times New Roman"/>
          <w:sz w:val="28"/>
          <w:szCs w:val="28"/>
        </w:rPr>
      </w:pPr>
      <w:r w:rsidRPr="00F8516A">
        <w:rPr>
          <w:rFonts w:ascii="Times New Roman" w:hAnsi="Times New Roman" w:cs="Times New Roman"/>
          <w:sz w:val="28"/>
          <w:szCs w:val="28"/>
        </w:rPr>
        <w:t>(ii) Quy định theo hướng có sự phân biệt về nội dung, hình thức, trình tự, thủ tục cán bộ, công chức, viên chức kiểm tra và giám sát;</w:t>
      </w:r>
    </w:p>
    <w:p w14:paraId="44798FC9" w14:textId="1DD9DE52" w:rsidR="00F8516A" w:rsidRPr="00F8516A" w:rsidRDefault="00F8516A" w:rsidP="00D353DD">
      <w:pPr>
        <w:spacing w:before="60" w:after="60"/>
        <w:rPr>
          <w:rFonts w:ascii="Times New Roman" w:hAnsi="Times New Roman" w:cs="Times New Roman"/>
          <w:sz w:val="28"/>
          <w:szCs w:val="28"/>
        </w:rPr>
      </w:pPr>
      <w:r w:rsidRPr="00F8516A">
        <w:rPr>
          <w:rFonts w:ascii="Times New Roman" w:hAnsi="Times New Roman" w:cs="Times New Roman"/>
          <w:sz w:val="28"/>
          <w:szCs w:val="28"/>
        </w:rPr>
        <w:t>(iii) Bổ sung hình thức giám sát thông qua hoạt động lấy phiếu tín nhiệm, bỏ phiếu tín nhiệm đối với chức danh lãnh đạo, quản lý trong cơ quan, đơn vị theo quy định của cơ quan có thẩm quyền.</w:t>
      </w:r>
    </w:p>
    <w:p w14:paraId="1B14EC07" w14:textId="1F4CE7FA" w:rsidR="00F8516A" w:rsidRPr="00F8516A" w:rsidRDefault="00F8516A" w:rsidP="00D353DD">
      <w:pPr>
        <w:spacing w:before="60" w:after="60"/>
        <w:rPr>
          <w:rFonts w:ascii="Times New Roman" w:hAnsi="Times New Roman" w:cs="Times New Roman"/>
          <w:sz w:val="28"/>
          <w:szCs w:val="28"/>
        </w:rPr>
      </w:pPr>
      <w:r w:rsidRPr="00F8516A">
        <w:rPr>
          <w:rFonts w:ascii="Times New Roman" w:hAnsi="Times New Roman" w:cs="Times New Roman"/>
          <w:sz w:val="28"/>
          <w:szCs w:val="28"/>
        </w:rPr>
        <w:t>Một số điểm mới về trách nhiệm tổ chức thực hiện dân chủ ở cơ sở</w:t>
      </w:r>
    </w:p>
    <w:p w14:paraId="0CAF858A" w14:textId="77777777" w:rsidR="00F8516A" w:rsidRPr="00F8516A" w:rsidRDefault="00F8516A" w:rsidP="00D353DD">
      <w:pPr>
        <w:spacing w:before="60" w:after="60"/>
        <w:rPr>
          <w:rFonts w:ascii="Times New Roman" w:hAnsi="Times New Roman" w:cs="Times New Roman"/>
          <w:sz w:val="28"/>
          <w:szCs w:val="28"/>
        </w:rPr>
      </w:pPr>
      <w:r w:rsidRPr="00F8516A">
        <w:rPr>
          <w:rFonts w:ascii="Times New Roman" w:hAnsi="Times New Roman" w:cs="Times New Roman"/>
          <w:sz w:val="28"/>
          <w:szCs w:val="28"/>
        </w:rPr>
        <w:t>(i) Quy định các biện pháp bảo đảm thực hiện dân chủ ở cơ sở;</w:t>
      </w:r>
    </w:p>
    <w:p w14:paraId="44A2AD10" w14:textId="77777777" w:rsidR="00F8516A" w:rsidRPr="00F8516A" w:rsidRDefault="00F8516A" w:rsidP="00D353DD">
      <w:pPr>
        <w:spacing w:before="60" w:after="60"/>
        <w:rPr>
          <w:rFonts w:ascii="Times New Roman" w:hAnsi="Times New Roman" w:cs="Times New Roman"/>
          <w:sz w:val="28"/>
          <w:szCs w:val="28"/>
        </w:rPr>
      </w:pPr>
      <w:r w:rsidRPr="00F8516A">
        <w:rPr>
          <w:rFonts w:ascii="Times New Roman" w:hAnsi="Times New Roman" w:cs="Times New Roman"/>
          <w:sz w:val="28"/>
          <w:szCs w:val="28"/>
        </w:rPr>
        <w:t>(ii) Quy định cụ thể trách nhiệm của Hội đồng nhân dân, Ủy ban nhân dân cấp xã, người đứng đầu cơ quan, đơn vị, người sử dụng lao động trong thực hiện dân chủ ở cơ sở;</w:t>
      </w:r>
    </w:p>
    <w:p w14:paraId="2FD625EA" w14:textId="77777777" w:rsidR="00F8516A" w:rsidRPr="00F8516A" w:rsidRDefault="00F8516A" w:rsidP="00D353DD">
      <w:pPr>
        <w:spacing w:before="60" w:after="60"/>
        <w:rPr>
          <w:rFonts w:ascii="Times New Roman" w:hAnsi="Times New Roman" w:cs="Times New Roman"/>
          <w:sz w:val="28"/>
          <w:szCs w:val="28"/>
        </w:rPr>
      </w:pPr>
      <w:r w:rsidRPr="00F8516A">
        <w:rPr>
          <w:rFonts w:ascii="Times New Roman" w:hAnsi="Times New Roman" w:cs="Times New Roman"/>
          <w:sz w:val="28"/>
          <w:szCs w:val="28"/>
        </w:rPr>
        <w:t>(iii) Quy định kết quả thực hiện dân chủ tại cơ quan, đơn vị là căn cứ để đánh giá, xếp loại chất lượng cán bộ, công chức, viên chức, khen thưởng, kỷ luật, đánh giá và xếp loại chất lượng đảng viên đối với người đứng đầu cơ quan, đơn vị;</w:t>
      </w:r>
    </w:p>
    <w:p w14:paraId="45795973" w14:textId="77777777" w:rsidR="00F8516A" w:rsidRPr="00F8516A" w:rsidRDefault="00F8516A" w:rsidP="00D353DD">
      <w:pPr>
        <w:spacing w:before="60" w:after="60"/>
        <w:rPr>
          <w:rFonts w:ascii="Times New Roman" w:hAnsi="Times New Roman" w:cs="Times New Roman"/>
          <w:sz w:val="28"/>
          <w:szCs w:val="28"/>
        </w:rPr>
      </w:pPr>
      <w:r w:rsidRPr="00F8516A">
        <w:rPr>
          <w:rFonts w:ascii="Times New Roman" w:hAnsi="Times New Roman" w:cs="Times New Roman"/>
          <w:sz w:val="28"/>
          <w:szCs w:val="28"/>
        </w:rPr>
        <w:t>(iv) Quy định cụ thể trách nhiệm quản lý nhà nước của Chính phủ, Bộ Nội vụ, Bộ Lao động - Thương binh và Xã hội và chế độ báo cáo về thực hiện dân chủ ở cơ sở;</w:t>
      </w:r>
    </w:p>
    <w:p w14:paraId="5B6969A4" w14:textId="77777777" w:rsidR="00F8516A" w:rsidRPr="00F8516A" w:rsidRDefault="00F8516A" w:rsidP="00D353DD">
      <w:pPr>
        <w:spacing w:before="60" w:after="60"/>
        <w:rPr>
          <w:rFonts w:ascii="Times New Roman" w:hAnsi="Times New Roman" w:cs="Times New Roman"/>
          <w:sz w:val="28"/>
          <w:szCs w:val="28"/>
        </w:rPr>
      </w:pPr>
      <w:r w:rsidRPr="00F8516A">
        <w:rPr>
          <w:rFonts w:ascii="Times New Roman" w:hAnsi="Times New Roman" w:cs="Times New Roman"/>
          <w:sz w:val="28"/>
          <w:szCs w:val="28"/>
        </w:rPr>
        <w:t>(v) Quy định trách nhiệm của Ủy ban nhân dân cấp tỉnh, cấp huyện trong việc thực hiện các biện pháp bảo đảm thực hiện dân chủ ở cơ sở;</w:t>
      </w:r>
    </w:p>
    <w:p w14:paraId="144C5244" w14:textId="7606A2C0" w:rsidR="00F8516A" w:rsidRPr="00F8516A" w:rsidRDefault="00F8516A" w:rsidP="00D353DD">
      <w:pPr>
        <w:spacing w:before="60" w:after="60"/>
        <w:rPr>
          <w:rFonts w:ascii="Times New Roman" w:hAnsi="Times New Roman" w:cs="Times New Roman"/>
          <w:sz w:val="28"/>
          <w:szCs w:val="28"/>
        </w:rPr>
      </w:pPr>
      <w:r w:rsidRPr="00F8516A">
        <w:rPr>
          <w:rFonts w:ascii="Times New Roman" w:hAnsi="Times New Roman" w:cs="Times New Roman"/>
          <w:sz w:val="28"/>
          <w:szCs w:val="28"/>
        </w:rPr>
        <w:t>(vi) Quy định trách nhiệm của Mặt trận Tổ quốc Việt Nam nói chung và trách nhiệm của Mặt trận Tổ quốc Việt Nam cấp xã nói riêng; trách nhiệm của các tổ chức chính trị - xã hội và trách nhiệm của tổ chức Công đoàn trong việc bảo đảm thực hiện dân chủ ở cơ sở.</w:t>
      </w:r>
    </w:p>
    <w:p w14:paraId="1BA261FD" w14:textId="7D4B4581" w:rsidR="00F8516A" w:rsidRDefault="00F8516A" w:rsidP="00D353DD">
      <w:pPr>
        <w:spacing w:before="60" w:after="60"/>
        <w:rPr>
          <w:rFonts w:ascii="Times New Roman" w:hAnsi="Times New Roman" w:cs="Times New Roman"/>
          <w:sz w:val="28"/>
          <w:szCs w:val="28"/>
        </w:rPr>
      </w:pPr>
      <w:r w:rsidRPr="00F8516A">
        <w:rPr>
          <w:rFonts w:ascii="Times New Roman" w:hAnsi="Times New Roman" w:cs="Times New Roman"/>
          <w:sz w:val="28"/>
          <w:szCs w:val="28"/>
        </w:rPr>
        <w:t xml:space="preserve">Luật Thực hiện dân chủ ở cơ sở thực hiện đồng bộ, thống nhất ba loại hình thực hiện dân chủ ở xã, phường, thị trấn; thực hiện dân chủ trong hoạt động của cơ quan hành chính nhà nước và đơn vị sự nghiệp công lập; việc thực hiện dân chủ tại nơi làm việc đã khắc phục căn bản những bất cập trước đây mỗi loại hình thực hiện theo một văn bản khác nhau dẫn đến tình trạng không đồng bộ, thống nhất. Đồng thời, Luật Thực hiện dân chủ ở cơ sở quy định cụ thể và đầy đủ phương châm “Dân biết, dân bàn, dân làm, dân kiểm tra, dân giám sát, dân thụ hưởng” để mọi </w:t>
      </w:r>
      <w:r w:rsidRPr="00F8516A">
        <w:rPr>
          <w:rFonts w:ascii="Times New Roman" w:hAnsi="Times New Roman" w:cs="Times New Roman"/>
          <w:sz w:val="28"/>
          <w:szCs w:val="28"/>
        </w:rPr>
        <w:lastRenderedPageBreak/>
        <w:t>người dân được phát huy quyền làm chủ của mình theo quy định của Hiến pháp và pháp luật thực hiện dân chủ ở cơ sở.</w:t>
      </w:r>
      <w:r w:rsidR="00B14F29">
        <w:rPr>
          <w:rFonts w:ascii="Times New Roman" w:hAnsi="Times New Roman" w:cs="Times New Roman"/>
          <w:sz w:val="28"/>
          <w:szCs w:val="28"/>
        </w:rPr>
        <w:t xml:space="preserve"> </w:t>
      </w:r>
    </w:p>
    <w:p w14:paraId="51A46D8C" w14:textId="77777777" w:rsidR="0049733E" w:rsidRDefault="00B14F29" w:rsidP="00D353DD">
      <w:pPr>
        <w:spacing w:before="60" w:after="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D25C6E0" w14:textId="2C0B67B5" w:rsidR="00B14F29" w:rsidRPr="00B14F29" w:rsidRDefault="00B14F29" w:rsidP="0049733E">
      <w:pPr>
        <w:spacing w:before="60" w:after="60"/>
        <w:ind w:left="3600"/>
        <w:rPr>
          <w:rFonts w:ascii="Times New Roman" w:hAnsi="Times New Roman" w:cs="Times New Roman"/>
          <w:b/>
          <w:sz w:val="28"/>
          <w:szCs w:val="28"/>
        </w:rPr>
      </w:pPr>
      <w:bookmarkStart w:id="0" w:name="_GoBack"/>
      <w:bookmarkEnd w:id="0"/>
      <w:r>
        <w:rPr>
          <w:rFonts w:ascii="Times New Roman" w:hAnsi="Times New Roman" w:cs="Times New Roman"/>
          <w:b/>
          <w:sz w:val="28"/>
          <w:szCs w:val="28"/>
        </w:rPr>
        <w:t>Phòng Tư pháp huyện Khoái Châu</w:t>
      </w:r>
    </w:p>
    <w:sectPr w:rsidR="00B14F29" w:rsidRPr="00B14F29" w:rsidSect="00E65511">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6A"/>
    <w:rsid w:val="002619D1"/>
    <w:rsid w:val="002C606C"/>
    <w:rsid w:val="0049733E"/>
    <w:rsid w:val="004C6F11"/>
    <w:rsid w:val="005C5989"/>
    <w:rsid w:val="0060109B"/>
    <w:rsid w:val="007E0523"/>
    <w:rsid w:val="008F5747"/>
    <w:rsid w:val="00B14F29"/>
    <w:rsid w:val="00BC25D5"/>
    <w:rsid w:val="00D353DD"/>
    <w:rsid w:val="00E65511"/>
    <w:rsid w:val="00F8516A"/>
    <w:rsid w:val="00FF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51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51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51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51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51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51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51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516A"/>
    <w:pPr>
      <w:keepNext/>
      <w:keepLines/>
      <w:spacing w:before="0"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516A"/>
    <w:pPr>
      <w:keepNext/>
      <w:keepLines/>
      <w:spacing w:before="0"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1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51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51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51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51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51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51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51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516A"/>
    <w:rPr>
      <w:rFonts w:eastAsiaTheme="majorEastAsia" w:cstheme="majorBidi"/>
      <w:color w:val="272727" w:themeColor="text1" w:themeTint="D8"/>
    </w:rPr>
  </w:style>
  <w:style w:type="paragraph" w:styleId="Title">
    <w:name w:val="Title"/>
    <w:basedOn w:val="Normal"/>
    <w:next w:val="Normal"/>
    <w:link w:val="TitleChar"/>
    <w:uiPriority w:val="10"/>
    <w:qFormat/>
    <w:rsid w:val="00F8516A"/>
    <w:pPr>
      <w:spacing w:before="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1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516A"/>
    <w:pPr>
      <w:numPr>
        <w:ilvl w:val="1"/>
      </w:numPr>
      <w:spacing w:after="160"/>
      <w:ind w:firstLine="72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51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516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8516A"/>
    <w:rPr>
      <w:i/>
      <w:iCs/>
      <w:color w:val="404040" w:themeColor="text1" w:themeTint="BF"/>
    </w:rPr>
  </w:style>
  <w:style w:type="paragraph" w:styleId="ListParagraph">
    <w:name w:val="List Paragraph"/>
    <w:basedOn w:val="Normal"/>
    <w:uiPriority w:val="34"/>
    <w:qFormat/>
    <w:rsid w:val="00F8516A"/>
    <w:pPr>
      <w:ind w:left="720"/>
      <w:contextualSpacing/>
    </w:pPr>
  </w:style>
  <w:style w:type="character" w:styleId="IntenseEmphasis">
    <w:name w:val="Intense Emphasis"/>
    <w:basedOn w:val="DefaultParagraphFont"/>
    <w:uiPriority w:val="21"/>
    <w:qFormat/>
    <w:rsid w:val="00F8516A"/>
    <w:rPr>
      <w:i/>
      <w:iCs/>
      <w:color w:val="0F4761" w:themeColor="accent1" w:themeShade="BF"/>
    </w:rPr>
  </w:style>
  <w:style w:type="paragraph" w:styleId="IntenseQuote">
    <w:name w:val="Intense Quote"/>
    <w:basedOn w:val="Normal"/>
    <w:next w:val="Normal"/>
    <w:link w:val="IntenseQuoteChar"/>
    <w:uiPriority w:val="30"/>
    <w:qFormat/>
    <w:rsid w:val="00F851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516A"/>
    <w:rPr>
      <w:i/>
      <w:iCs/>
      <w:color w:val="0F4761" w:themeColor="accent1" w:themeShade="BF"/>
    </w:rPr>
  </w:style>
  <w:style w:type="character" w:styleId="IntenseReference">
    <w:name w:val="Intense Reference"/>
    <w:basedOn w:val="DefaultParagraphFont"/>
    <w:uiPriority w:val="32"/>
    <w:qFormat/>
    <w:rsid w:val="00F8516A"/>
    <w:rPr>
      <w:b/>
      <w:bCs/>
      <w:smallCaps/>
      <w:color w:val="0F4761" w:themeColor="accent1" w:themeShade="BF"/>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51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51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51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51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51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51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51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516A"/>
    <w:pPr>
      <w:keepNext/>
      <w:keepLines/>
      <w:spacing w:before="0"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516A"/>
    <w:pPr>
      <w:keepNext/>
      <w:keepLines/>
      <w:spacing w:before="0"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1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51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51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51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51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51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51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51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516A"/>
    <w:rPr>
      <w:rFonts w:eastAsiaTheme="majorEastAsia" w:cstheme="majorBidi"/>
      <w:color w:val="272727" w:themeColor="text1" w:themeTint="D8"/>
    </w:rPr>
  </w:style>
  <w:style w:type="paragraph" w:styleId="Title">
    <w:name w:val="Title"/>
    <w:basedOn w:val="Normal"/>
    <w:next w:val="Normal"/>
    <w:link w:val="TitleChar"/>
    <w:uiPriority w:val="10"/>
    <w:qFormat/>
    <w:rsid w:val="00F8516A"/>
    <w:pPr>
      <w:spacing w:before="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1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516A"/>
    <w:pPr>
      <w:numPr>
        <w:ilvl w:val="1"/>
      </w:numPr>
      <w:spacing w:after="160"/>
      <w:ind w:firstLine="72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51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516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8516A"/>
    <w:rPr>
      <w:i/>
      <w:iCs/>
      <w:color w:val="404040" w:themeColor="text1" w:themeTint="BF"/>
    </w:rPr>
  </w:style>
  <w:style w:type="paragraph" w:styleId="ListParagraph">
    <w:name w:val="List Paragraph"/>
    <w:basedOn w:val="Normal"/>
    <w:uiPriority w:val="34"/>
    <w:qFormat/>
    <w:rsid w:val="00F8516A"/>
    <w:pPr>
      <w:ind w:left="720"/>
      <w:contextualSpacing/>
    </w:pPr>
  </w:style>
  <w:style w:type="character" w:styleId="IntenseEmphasis">
    <w:name w:val="Intense Emphasis"/>
    <w:basedOn w:val="DefaultParagraphFont"/>
    <w:uiPriority w:val="21"/>
    <w:qFormat/>
    <w:rsid w:val="00F8516A"/>
    <w:rPr>
      <w:i/>
      <w:iCs/>
      <w:color w:val="0F4761" w:themeColor="accent1" w:themeShade="BF"/>
    </w:rPr>
  </w:style>
  <w:style w:type="paragraph" w:styleId="IntenseQuote">
    <w:name w:val="Intense Quote"/>
    <w:basedOn w:val="Normal"/>
    <w:next w:val="Normal"/>
    <w:link w:val="IntenseQuoteChar"/>
    <w:uiPriority w:val="30"/>
    <w:qFormat/>
    <w:rsid w:val="00F851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516A"/>
    <w:rPr>
      <w:i/>
      <w:iCs/>
      <w:color w:val="0F4761" w:themeColor="accent1" w:themeShade="BF"/>
    </w:rPr>
  </w:style>
  <w:style w:type="character" w:styleId="IntenseReference">
    <w:name w:val="Intense Reference"/>
    <w:basedOn w:val="DefaultParagraphFont"/>
    <w:uiPriority w:val="32"/>
    <w:qFormat/>
    <w:rsid w:val="00F8516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222">
      <w:bodyDiv w:val="1"/>
      <w:marLeft w:val="0"/>
      <w:marRight w:val="0"/>
      <w:marTop w:val="0"/>
      <w:marBottom w:val="0"/>
      <w:divBdr>
        <w:top w:val="none" w:sz="0" w:space="0" w:color="auto"/>
        <w:left w:val="none" w:sz="0" w:space="0" w:color="auto"/>
        <w:bottom w:val="none" w:sz="0" w:space="0" w:color="auto"/>
        <w:right w:val="none" w:sz="0" w:space="0" w:color="auto"/>
      </w:divBdr>
    </w:div>
    <w:div w:id="64841820">
      <w:bodyDiv w:val="1"/>
      <w:marLeft w:val="0"/>
      <w:marRight w:val="0"/>
      <w:marTop w:val="0"/>
      <w:marBottom w:val="0"/>
      <w:divBdr>
        <w:top w:val="none" w:sz="0" w:space="0" w:color="auto"/>
        <w:left w:val="none" w:sz="0" w:space="0" w:color="auto"/>
        <w:bottom w:val="none" w:sz="0" w:space="0" w:color="auto"/>
        <w:right w:val="none" w:sz="0" w:space="0" w:color="auto"/>
      </w:divBdr>
    </w:div>
    <w:div w:id="702169362">
      <w:bodyDiv w:val="1"/>
      <w:marLeft w:val="0"/>
      <w:marRight w:val="0"/>
      <w:marTop w:val="0"/>
      <w:marBottom w:val="0"/>
      <w:divBdr>
        <w:top w:val="none" w:sz="0" w:space="0" w:color="auto"/>
        <w:left w:val="none" w:sz="0" w:space="0" w:color="auto"/>
        <w:bottom w:val="none" w:sz="0" w:space="0" w:color="auto"/>
        <w:right w:val="none" w:sz="0" w:space="0" w:color="auto"/>
      </w:divBdr>
    </w:div>
    <w:div w:id="1285960510">
      <w:bodyDiv w:val="1"/>
      <w:marLeft w:val="0"/>
      <w:marRight w:val="0"/>
      <w:marTop w:val="0"/>
      <w:marBottom w:val="0"/>
      <w:divBdr>
        <w:top w:val="none" w:sz="0" w:space="0" w:color="auto"/>
        <w:left w:val="none" w:sz="0" w:space="0" w:color="auto"/>
        <w:bottom w:val="none" w:sz="0" w:space="0" w:color="auto"/>
        <w:right w:val="none" w:sz="0" w:space="0" w:color="auto"/>
      </w:divBdr>
    </w:div>
    <w:div w:id="1785268308">
      <w:bodyDiv w:val="1"/>
      <w:marLeft w:val="0"/>
      <w:marRight w:val="0"/>
      <w:marTop w:val="0"/>
      <w:marBottom w:val="0"/>
      <w:divBdr>
        <w:top w:val="none" w:sz="0" w:space="0" w:color="auto"/>
        <w:left w:val="none" w:sz="0" w:space="0" w:color="auto"/>
        <w:bottom w:val="none" w:sz="0" w:space="0" w:color="auto"/>
        <w:right w:val="none" w:sz="0" w:space="0" w:color="auto"/>
      </w:divBdr>
    </w:div>
    <w:div w:id="20528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F6C23AD-4693-466D-B118-A060E15ABA36}"/>
</file>

<file path=customXml/itemProps2.xml><?xml version="1.0" encoding="utf-8"?>
<ds:datastoreItem xmlns:ds="http://schemas.openxmlformats.org/officeDocument/2006/customXml" ds:itemID="{CBF24150-8224-4B14-B7B2-1ED2B36A1B91}"/>
</file>

<file path=customXml/itemProps3.xml><?xml version="1.0" encoding="utf-8"?>
<ds:datastoreItem xmlns:ds="http://schemas.openxmlformats.org/officeDocument/2006/customXml" ds:itemID="{31705F88-8502-4712-A462-36DB17A166F5}"/>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Dao</dc:creator>
  <cp:lastModifiedBy>Admin</cp:lastModifiedBy>
  <cp:revision>9</cp:revision>
  <dcterms:created xsi:type="dcterms:W3CDTF">2024-04-11T09:45:00Z</dcterms:created>
  <dcterms:modified xsi:type="dcterms:W3CDTF">2024-04-11T09:49:00Z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